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0BE8D" w14:textId="77777777" w:rsidR="002C3038" w:rsidRDefault="00D52B70">
      <w:pPr>
        <w:widowControl w:val="0"/>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w:t>
      </w:r>
      <w:bookmarkStart w:id="0" w:name="_GoBack"/>
      <w:bookmarkEnd w:id="0"/>
      <w:r>
        <w:rPr>
          <w:rFonts w:ascii="ＭＳ ゴシック" w:eastAsia="ＭＳ ゴシック" w:hAnsi="ＭＳ ゴシック"/>
          <w:sz w:val="28"/>
          <w:szCs w:val="28"/>
        </w:rPr>
        <w:t>事録</w:t>
      </w:r>
    </w:p>
    <w:p w14:paraId="4B8B0AE0" w14:textId="77777777" w:rsidR="002C3038" w:rsidRDefault="002C3038">
      <w:pPr>
        <w:widowControl w:val="0"/>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526"/>
        <w:gridCol w:w="7652"/>
      </w:tblGrid>
      <w:tr w:rsidR="002C3038" w:rsidRPr="00EA05FD" w14:paraId="488BD219" w14:textId="77777777">
        <w:tc>
          <w:tcPr>
            <w:tcW w:w="1526" w:type="dxa"/>
          </w:tcPr>
          <w:p w14:paraId="302D238B"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事業名</w:t>
            </w:r>
          </w:p>
        </w:tc>
        <w:tc>
          <w:tcPr>
            <w:tcW w:w="7654" w:type="dxa"/>
          </w:tcPr>
          <w:p w14:paraId="4EB9621D"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令和元年度「職業実践専門課程等を通じた専修学校の質保証・向上の推進」</w:t>
            </w:r>
          </w:p>
          <w:p w14:paraId="38F5CB7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Ⅰ．教職員の資質能力向上の推進　（ⅱ）教職員研修プログラムの構築事業</w:t>
            </w:r>
          </w:p>
        </w:tc>
      </w:tr>
      <w:tr w:rsidR="002C3038" w:rsidRPr="00EA05FD" w14:paraId="72B0B0A4" w14:textId="77777777">
        <w:tc>
          <w:tcPr>
            <w:tcW w:w="1526" w:type="dxa"/>
          </w:tcPr>
          <w:p w14:paraId="3707ED90"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代表校</w:t>
            </w:r>
          </w:p>
        </w:tc>
        <w:tc>
          <w:tcPr>
            <w:tcW w:w="7654" w:type="dxa"/>
          </w:tcPr>
          <w:p w14:paraId="4631770B"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一般社団法人全国専門学校教育研究会</w:t>
            </w:r>
          </w:p>
        </w:tc>
      </w:tr>
    </w:tbl>
    <w:p w14:paraId="7F758700" w14:textId="77777777" w:rsidR="002C3038" w:rsidRPr="00EA05FD" w:rsidRDefault="002C3038">
      <w:pPr>
        <w:widowControl w:val="0"/>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526"/>
        <w:gridCol w:w="7652"/>
      </w:tblGrid>
      <w:tr w:rsidR="002C3038" w:rsidRPr="00EA05FD" w14:paraId="0AA63AE2" w14:textId="77777777">
        <w:tc>
          <w:tcPr>
            <w:tcW w:w="1526" w:type="dxa"/>
          </w:tcPr>
          <w:p w14:paraId="5AC8FBEA"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会議名</w:t>
            </w:r>
          </w:p>
        </w:tc>
        <w:tc>
          <w:tcPr>
            <w:tcW w:w="7654" w:type="dxa"/>
          </w:tcPr>
          <w:p w14:paraId="6B75360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第１回ICT活用研修WG</w:t>
            </w:r>
          </w:p>
        </w:tc>
      </w:tr>
      <w:tr w:rsidR="002C3038" w:rsidRPr="00EA05FD" w14:paraId="10BDDE63" w14:textId="77777777">
        <w:tc>
          <w:tcPr>
            <w:tcW w:w="1526" w:type="dxa"/>
          </w:tcPr>
          <w:p w14:paraId="262D944B"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開催日時</w:t>
            </w:r>
          </w:p>
        </w:tc>
        <w:tc>
          <w:tcPr>
            <w:tcW w:w="7654" w:type="dxa"/>
          </w:tcPr>
          <w:p w14:paraId="3D9ED0D2"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令和元年７月２５日（木）　１５：００〜１７：００</w:t>
            </w:r>
          </w:p>
        </w:tc>
      </w:tr>
      <w:tr w:rsidR="002C3038" w:rsidRPr="00EA05FD" w14:paraId="528B2257" w14:textId="77777777">
        <w:tc>
          <w:tcPr>
            <w:tcW w:w="1526" w:type="dxa"/>
          </w:tcPr>
          <w:p w14:paraId="5F092420"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場所</w:t>
            </w:r>
          </w:p>
        </w:tc>
        <w:tc>
          <w:tcPr>
            <w:tcW w:w="7654" w:type="dxa"/>
          </w:tcPr>
          <w:p w14:paraId="7CBBC73F"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東京ガーデンパレス「牡丹」</w:t>
            </w:r>
          </w:p>
          <w:p w14:paraId="4AD7C41B"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東京都文京区湯島１−７−５</w:t>
            </w:r>
          </w:p>
        </w:tc>
      </w:tr>
      <w:tr w:rsidR="002C3038" w:rsidRPr="00EA05FD" w14:paraId="13D7A007" w14:textId="77777777">
        <w:tc>
          <w:tcPr>
            <w:tcW w:w="1526" w:type="dxa"/>
          </w:tcPr>
          <w:p w14:paraId="3EB137FA"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出席者</w:t>
            </w:r>
          </w:p>
        </w:tc>
        <w:tc>
          <w:tcPr>
            <w:tcW w:w="7654" w:type="dxa"/>
          </w:tcPr>
          <w:p w14:paraId="2FBD3987"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委員：山根大助（学校法人京都中央学院）、岡村慎一（学校法人YIC学院）、岩切直子（学校法人麻生塾）、冨田伸一郎（株式会社ウチダ人材開発センタ）、猪俣昇（株式会社ウイネット）、合田美子（熊本大学）、加藤猛（学校法人穴吹学園）</w:t>
            </w:r>
          </w:p>
          <w:p w14:paraId="0954C35E" w14:textId="015962E2" w:rsidR="002C3038" w:rsidRPr="00EA05FD" w:rsidRDefault="00D52B70" w:rsidP="00AB3E4E">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請負業者：飯塚正成（有限会社ザ・ライスマウンド）</w:t>
            </w:r>
          </w:p>
        </w:tc>
      </w:tr>
      <w:tr w:rsidR="002C3038" w:rsidRPr="00EA05FD" w14:paraId="0044230D" w14:textId="77777777">
        <w:trPr>
          <w:trHeight w:val="1550"/>
        </w:trPr>
        <w:tc>
          <w:tcPr>
            <w:tcW w:w="1526" w:type="dxa"/>
          </w:tcPr>
          <w:p w14:paraId="5222ECD5" w14:textId="77777777" w:rsidR="002C3038" w:rsidRPr="00EA05FD" w:rsidRDefault="00D52B70">
            <w:pPr>
              <w:widowControl w:val="0"/>
              <w:jc w:val="center"/>
              <w:rPr>
                <w:rFonts w:ascii="ＭＳ ゴシック" w:eastAsia="ＭＳ ゴシック" w:hAnsi="ＭＳ ゴシック"/>
                <w:sz w:val="22"/>
                <w:szCs w:val="22"/>
              </w:rPr>
            </w:pPr>
            <w:r w:rsidRPr="00EA05FD">
              <w:rPr>
                <w:rFonts w:ascii="ＭＳ ゴシック" w:eastAsia="ＭＳ ゴシック" w:hAnsi="ＭＳ ゴシック"/>
                <w:sz w:val="22"/>
                <w:szCs w:val="22"/>
              </w:rPr>
              <w:t>議題等</w:t>
            </w:r>
          </w:p>
        </w:tc>
        <w:tc>
          <w:tcPr>
            <w:tcW w:w="7654" w:type="dxa"/>
            <w:shd w:val="clear" w:color="auto" w:fill="auto"/>
          </w:tcPr>
          <w:p w14:paraId="20E47B60"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１）代表挨拶</w:t>
            </w:r>
          </w:p>
          <w:p w14:paraId="785DDD1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委託事業として３年目を迎え、最終的な成果物を提出する年度となった。これまでの２年間で計画実施した内容をブラッシュアップし、質の高いICT活用研修となるよう、また、ICT活用研修を実施できる教員の養成を行う研修もあわせて完成させるよう、協力をお願いする。と挨拶がおこなわれた。</w:t>
            </w:r>
          </w:p>
          <w:p w14:paraId="43F8165F" w14:textId="77777777" w:rsidR="002C3038" w:rsidRPr="00EA05FD" w:rsidRDefault="002C3038">
            <w:pPr>
              <w:widowControl w:val="0"/>
              <w:rPr>
                <w:rFonts w:ascii="ＭＳ ゴシック" w:eastAsia="ＭＳ ゴシック" w:hAnsi="ＭＳ ゴシック"/>
                <w:sz w:val="22"/>
                <w:szCs w:val="22"/>
              </w:rPr>
            </w:pPr>
          </w:p>
          <w:p w14:paraId="1F7F11F5"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２）委員紹介</w:t>
            </w:r>
          </w:p>
          <w:p w14:paraId="68E0968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出席者全員が挨拶を行なった。</w:t>
            </w:r>
          </w:p>
          <w:p w14:paraId="0AFABD0A" w14:textId="77777777" w:rsidR="002C3038" w:rsidRPr="00EA05FD" w:rsidRDefault="002C3038">
            <w:pPr>
              <w:widowControl w:val="0"/>
              <w:rPr>
                <w:rFonts w:ascii="ＭＳ ゴシック" w:eastAsia="ＭＳ ゴシック" w:hAnsi="ＭＳ ゴシック"/>
                <w:sz w:val="22"/>
                <w:szCs w:val="22"/>
              </w:rPr>
            </w:pPr>
          </w:p>
          <w:p w14:paraId="5032EADE"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３）役割分担</w:t>
            </w:r>
          </w:p>
          <w:p w14:paraId="4C69365E"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参加委員の役割について意見交換が行われ、下記の通り職務分掌することを決定した。</w:t>
            </w:r>
          </w:p>
          <w:p w14:paraId="7B57875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代表：山根大助</w:t>
            </w:r>
          </w:p>
          <w:p w14:paraId="67EF2017" w14:textId="77777777" w:rsidR="003025EE" w:rsidRPr="00EA05FD" w:rsidRDefault="003025EE">
            <w:pPr>
              <w:widowControl w:val="0"/>
              <w:rPr>
                <w:rFonts w:ascii="ＭＳ ゴシック" w:eastAsia="ＭＳ ゴシック" w:hAnsi="ＭＳ ゴシック"/>
                <w:sz w:val="22"/>
                <w:szCs w:val="22"/>
              </w:rPr>
            </w:pPr>
            <w:r w:rsidRPr="00EA05FD">
              <w:rPr>
                <w:rFonts w:ascii="ＭＳ ゴシック" w:eastAsia="ＭＳ ゴシック" w:hAnsi="ＭＳ ゴシック" w:hint="eastAsia"/>
                <w:sz w:val="22"/>
                <w:szCs w:val="22"/>
              </w:rPr>
              <w:t>副代表：加藤猛</w:t>
            </w:r>
          </w:p>
          <w:p w14:paraId="5BAF0153"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開発：合田美子</w:t>
            </w:r>
          </w:p>
          <w:p w14:paraId="63D2A75D"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委員：岡村慎一、岩切直子、冨田伸一郎、猪俣昇</w:t>
            </w:r>
          </w:p>
          <w:p w14:paraId="236B8F4D" w14:textId="77777777" w:rsidR="002C3038" w:rsidRPr="00EA05FD" w:rsidRDefault="002C3038">
            <w:pPr>
              <w:widowControl w:val="0"/>
              <w:rPr>
                <w:rFonts w:ascii="ＭＳ ゴシック" w:eastAsia="ＭＳ ゴシック" w:hAnsi="ＭＳ ゴシック"/>
                <w:sz w:val="22"/>
                <w:szCs w:val="22"/>
              </w:rPr>
            </w:pPr>
          </w:p>
          <w:p w14:paraId="706541C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４）事業計画説明</w:t>
            </w:r>
          </w:p>
          <w:p w14:paraId="77987F92"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この２年間でおこなわれた事業を振り返り、今年度の最終的なゴール設定の説明を行ない、参加委員からは積極的な意見が出された。</w:t>
            </w:r>
          </w:p>
          <w:p w14:paraId="30630AFC"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主な内容は次の通り</w:t>
            </w:r>
          </w:p>
          <w:p w14:paraId="62A944A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I.ICT活用研修</w:t>
            </w:r>
          </w:p>
          <w:p w14:paraId="12BAC196"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課題</w:t>
            </w:r>
          </w:p>
          <w:p w14:paraId="21A15CF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lastRenderedPageBreak/>
              <w:t>・受講対象者のレベル設定について</w:t>
            </w:r>
          </w:p>
          <w:p w14:paraId="4677BEB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・受講者の動員について</w:t>
            </w:r>
          </w:p>
          <w:p w14:paraId="7ADCC759"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・動画を授業の中でどのように活用するか（インストラクショナルデザインとの紐付け）について</w:t>
            </w:r>
          </w:p>
          <w:p w14:paraId="02D8A31D"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・１回の研修参加で複数の目的達成が困難</w:t>
            </w:r>
          </w:p>
          <w:p w14:paraId="4BF633B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・受講生が担当する教科・分野に落とし込む方法について</w:t>
            </w:r>
          </w:p>
          <w:p w14:paraId="3F2B3626"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解決策</w:t>
            </w:r>
          </w:p>
          <w:p w14:paraId="77C91689"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・研修のフレームワークの強化</w:t>
            </w:r>
          </w:p>
          <w:p w14:paraId="78727197"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・専門分野に特化した地方での研修について</w:t>
            </w:r>
          </w:p>
          <w:p w14:paraId="597C966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・これまでの受講生をファシリテーターとして研修を実施</w:t>
            </w:r>
          </w:p>
          <w:p w14:paraId="1BA1F011"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・専門分野でコミュニティを作るしかけを作ること</w:t>
            </w:r>
          </w:p>
          <w:p w14:paraId="2E837413"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・動画および授業の評価のチェックリスト作成</w:t>
            </w:r>
          </w:p>
          <w:p w14:paraId="0408C3B7"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・活用事例の紹介　など</w:t>
            </w:r>
          </w:p>
          <w:p w14:paraId="5F48E98B" w14:textId="77777777" w:rsidR="002C3038" w:rsidRPr="00EA05FD" w:rsidRDefault="002C3038">
            <w:pPr>
              <w:widowControl w:val="0"/>
              <w:rPr>
                <w:rFonts w:ascii="ＭＳ ゴシック" w:eastAsia="ＭＳ ゴシック" w:hAnsi="ＭＳ ゴシック"/>
                <w:sz w:val="22"/>
                <w:szCs w:val="22"/>
              </w:rPr>
            </w:pPr>
          </w:p>
          <w:p w14:paraId="0B345DD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II.ICT活用研修を担当する教員育成研修</w:t>
            </w:r>
          </w:p>
          <w:p w14:paraId="730049CE"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課題</w:t>
            </w:r>
          </w:p>
          <w:p w14:paraId="6D1C6216"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・教員の要件として必要なことと研修でできることのギャップ</w:t>
            </w:r>
          </w:p>
          <w:p w14:paraId="74EBE8BD"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解決策</w:t>
            </w:r>
          </w:p>
          <w:p w14:paraId="194C998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・受講する教員像について（専門を活かす）</w:t>
            </w:r>
          </w:p>
          <w:p w14:paraId="2AAA245D"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・教員育成の視点について学ぶ</w:t>
            </w:r>
          </w:p>
          <w:p w14:paraId="5C41BB3B"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・ICT活用の考え方について学ぶ</w:t>
            </w:r>
          </w:p>
          <w:p w14:paraId="60B8B028"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・チェックリストを活用し、教員によるチェックの差異を理解する</w:t>
            </w:r>
          </w:p>
          <w:p w14:paraId="284AD3B0"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・参加者がディスカッションを中心に学ぶ　など</w:t>
            </w:r>
          </w:p>
          <w:p w14:paraId="59A7C2A7" w14:textId="77777777" w:rsidR="002C3038" w:rsidRPr="00EA05FD" w:rsidRDefault="002C3038">
            <w:pPr>
              <w:widowControl w:val="0"/>
              <w:rPr>
                <w:rFonts w:ascii="ＭＳ ゴシック" w:eastAsia="ＭＳ ゴシック" w:hAnsi="ＭＳ ゴシック"/>
                <w:sz w:val="22"/>
                <w:szCs w:val="22"/>
              </w:rPr>
            </w:pPr>
          </w:p>
          <w:p w14:paraId="13E377F5"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また、上記I、IIの成果物として必要な内容について確認した。</w:t>
            </w:r>
          </w:p>
          <w:p w14:paraId="187DAC13" w14:textId="77777777" w:rsidR="002C3038" w:rsidRPr="00EA05FD" w:rsidRDefault="002C3038">
            <w:pPr>
              <w:widowControl w:val="0"/>
              <w:rPr>
                <w:rFonts w:ascii="ＭＳ ゴシック" w:eastAsia="ＭＳ ゴシック" w:hAnsi="ＭＳ ゴシック"/>
                <w:sz w:val="22"/>
                <w:szCs w:val="22"/>
              </w:rPr>
            </w:pPr>
          </w:p>
          <w:p w14:paraId="283F25F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５）スケジュール</w:t>
            </w:r>
          </w:p>
          <w:p w14:paraId="19A0AFD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関連する会議や報告の日程をベースに実証研修やWGのスケジュールを次の通りとする。</w:t>
            </w:r>
          </w:p>
          <w:p w14:paraId="448620D9"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令和元年8月29日 第２回WG</w:t>
            </w:r>
          </w:p>
          <w:p w14:paraId="68A6ED96"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令和元年9月19,20日 ICT活用研修実証研修＠京都</w:t>
            </w:r>
          </w:p>
          <w:p w14:paraId="66F57BA4"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令和元年9月20日 第３回WG</w:t>
            </w:r>
          </w:p>
          <w:p w14:paraId="72952ED9"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令和元年10月3,4日 ICT活用研修実証研修＠新潟</w:t>
            </w:r>
          </w:p>
          <w:p w14:paraId="603326BA"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令和元年11月7日 ICT活用教員育成実証研修＠東京</w:t>
            </w:r>
          </w:p>
          <w:p w14:paraId="25619CFE"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令和元年11月7日 第４回WG</w:t>
            </w:r>
          </w:p>
          <w:p w14:paraId="2CD07392"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令和２年1月22日 第５回WG</w:t>
            </w:r>
          </w:p>
          <w:p w14:paraId="53EE83D3" w14:textId="77777777" w:rsidR="002C3038" w:rsidRPr="00EA05FD" w:rsidRDefault="00D52B70">
            <w:pPr>
              <w:widowControl w:val="0"/>
              <w:rPr>
                <w:rFonts w:ascii="ＭＳ ゴシック" w:eastAsia="ＭＳ ゴシック" w:hAnsi="ＭＳ ゴシック"/>
                <w:sz w:val="22"/>
                <w:szCs w:val="22"/>
              </w:rPr>
            </w:pPr>
            <w:r w:rsidRPr="00EA05FD">
              <w:rPr>
                <w:rFonts w:ascii="ＭＳ ゴシック" w:eastAsia="ＭＳ ゴシック" w:hAnsi="ＭＳ ゴシック"/>
                <w:sz w:val="22"/>
                <w:szCs w:val="22"/>
              </w:rPr>
              <w:t>令和２年2月7日 報告会</w:t>
            </w:r>
          </w:p>
        </w:tc>
      </w:tr>
    </w:tbl>
    <w:p w14:paraId="510164B1" w14:textId="77777777" w:rsidR="002C3038" w:rsidRDefault="00D52B70">
      <w:pPr>
        <w:widowControl w:val="0"/>
        <w:jc w:val="right"/>
        <w:rPr>
          <w:rFonts w:ascii="ＭＳ ゴシック" w:eastAsia="ＭＳ ゴシック" w:hAnsi="ＭＳ ゴシック"/>
          <w:sz w:val="22"/>
          <w:szCs w:val="22"/>
        </w:rPr>
      </w:pPr>
      <w:r>
        <w:rPr>
          <w:rFonts w:ascii="ＭＳ ゴシック" w:eastAsia="ＭＳ ゴシック" w:hAnsi="ＭＳ ゴシック"/>
          <w:sz w:val="22"/>
          <w:szCs w:val="22"/>
        </w:rPr>
        <w:lastRenderedPageBreak/>
        <w:t>以上</w:t>
      </w:r>
    </w:p>
    <w:sectPr w:rsidR="002C3038">
      <w:headerReference w:type="default" r:id="rId6"/>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5D503" w14:textId="77777777" w:rsidR="004E1DC2" w:rsidRDefault="004E1DC2">
      <w:r>
        <w:separator/>
      </w:r>
    </w:p>
  </w:endnote>
  <w:endnote w:type="continuationSeparator" w:id="0">
    <w:p w14:paraId="359CAC19" w14:textId="77777777" w:rsidR="004E1DC2" w:rsidRDefault="004E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07740" w14:textId="77777777" w:rsidR="004E1DC2" w:rsidRDefault="004E1DC2">
      <w:r>
        <w:separator/>
      </w:r>
    </w:p>
  </w:footnote>
  <w:footnote w:type="continuationSeparator" w:id="0">
    <w:p w14:paraId="4F9A29D7" w14:textId="77777777" w:rsidR="004E1DC2" w:rsidRDefault="004E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E73C" w14:textId="77777777" w:rsidR="002C3038" w:rsidRDefault="00D52B70">
    <w:pPr>
      <w:pStyle w:val="af"/>
      <w:widowControl w:val="0"/>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2C3038"/>
    <w:rsid w:val="00284486"/>
    <w:rsid w:val="002C3038"/>
    <w:rsid w:val="003025EE"/>
    <w:rsid w:val="004E1DC2"/>
    <w:rsid w:val="00986651"/>
    <w:rsid w:val="00A85392"/>
    <w:rsid w:val="00AB3E4E"/>
    <w:rsid w:val="00D52B70"/>
    <w:rsid w:val="00EA05F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0DE78"/>
  <w15:docId w15:val="{8F012633-EC36-4F41-BE83-217C272C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auto" w:fill="auto"/>
    </w:rPr>
  </w:style>
  <w:style w:type="character" w:styleId="a7">
    <w:name w:val="Emphasis"/>
    <w:uiPriority w:val="18"/>
    <w:qFormat/>
    <w:rPr>
      <w:i/>
      <w:w w:val="100"/>
      <w:sz w:val="22"/>
      <w:szCs w:val="22"/>
      <w:shd w:val="clear" w:color="auto" w:fill="auto"/>
    </w:rPr>
  </w:style>
  <w:style w:type="character" w:styleId="20">
    <w:name w:val="Intense Emphasis"/>
    <w:uiPriority w:val="19"/>
    <w:qFormat/>
    <w:rPr>
      <w:i/>
      <w:color w:val="5B9BD5"/>
      <w:w w:val="100"/>
      <w:sz w:val="22"/>
      <w:szCs w:val="22"/>
      <w:shd w:val="clear" w:color="auto" w:fill="auto"/>
    </w:rPr>
  </w:style>
  <w:style w:type="character" w:styleId="a8">
    <w:name w:val="Strong"/>
    <w:uiPriority w:val="20"/>
    <w:qFormat/>
    <w:rPr>
      <w:b/>
      <w:w w:val="100"/>
      <w:sz w:val="22"/>
      <w:szCs w:val="22"/>
      <w:shd w:val="clear" w:color="auto"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auto" w:fill="auto"/>
    </w:rPr>
  </w:style>
  <w:style w:type="character" w:styleId="22">
    <w:name w:val="Intense Reference"/>
    <w:uiPriority w:val="24"/>
    <w:qFormat/>
    <w:rPr>
      <w:b/>
      <w:smallCaps/>
      <w:color w:val="5B9BD5"/>
      <w:w w:val="100"/>
      <w:sz w:val="22"/>
      <w:szCs w:val="22"/>
      <w:shd w:val="clear" w:color="auto" w:fill="auto"/>
    </w:rPr>
  </w:style>
  <w:style w:type="character" w:styleId="ab">
    <w:name w:val="Book Title"/>
    <w:uiPriority w:val="25"/>
    <w:qFormat/>
    <w:rPr>
      <w:b/>
      <w:i/>
      <w:w w:val="100"/>
      <w:sz w:val="22"/>
      <w:szCs w:val="22"/>
      <w:shd w:val="clear" w:color="auto"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2"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2"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2"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2"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2"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2"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5B3D7" w:themeColor="accent1" w:themeTint="99"/>
        </w:tcBorders>
      </w:tcPr>
    </w:tblStylePr>
    <w:tblStylePr w:type="lastRow">
      <w:rPr>
        <w:b/>
        <w:w w:val="100"/>
        <w:sz w:val="20"/>
        <w:szCs w:val="20"/>
        <w:shd w:val="clear" w:color="auto" w:fill="auto"/>
      </w:rPr>
      <w:tblPr/>
      <w:tcPr>
        <w:tcBorders>
          <w:top w:val="sing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D99594" w:themeColor="accent2" w:themeTint="99"/>
        </w:tcBorders>
      </w:tcPr>
    </w:tblStylePr>
    <w:tblStylePr w:type="lastRow">
      <w:rPr>
        <w:b/>
        <w:w w:val="100"/>
        <w:sz w:val="20"/>
        <w:szCs w:val="20"/>
        <w:shd w:val="clear" w:color="auto" w:fill="auto"/>
      </w:rPr>
      <w:tblPr/>
      <w:tcPr>
        <w:tcBorders>
          <w:top w:val="sing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2D69B" w:themeColor="accent3" w:themeTint="99"/>
        </w:tcBorders>
      </w:tcPr>
    </w:tblStylePr>
    <w:tblStylePr w:type="lastRow">
      <w:rPr>
        <w:b/>
        <w:w w:val="100"/>
        <w:sz w:val="20"/>
        <w:szCs w:val="20"/>
        <w:shd w:val="clear" w:color="auto" w:fill="auto"/>
      </w:rPr>
      <w:tblPr/>
      <w:tcPr>
        <w:tcBorders>
          <w:top w:val="sing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B2A1C7" w:themeColor="accent4" w:themeTint="99"/>
        </w:tcBorders>
      </w:tcPr>
    </w:tblStylePr>
    <w:tblStylePr w:type="lastRow">
      <w:rPr>
        <w:b/>
        <w:w w:val="100"/>
        <w:sz w:val="20"/>
        <w:szCs w:val="20"/>
        <w:shd w:val="clear" w:color="auto" w:fill="auto"/>
      </w:rPr>
      <w:tblPr/>
      <w:tcPr>
        <w:tcBorders>
          <w:top w:val="sing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2CDDC" w:themeColor="accent5" w:themeTint="99"/>
        </w:tcBorders>
      </w:tcPr>
    </w:tblStylePr>
    <w:tblStylePr w:type="lastRow">
      <w:rPr>
        <w:b/>
        <w:w w:val="100"/>
        <w:sz w:val="20"/>
        <w:szCs w:val="20"/>
        <w:shd w:val="clear" w:color="auto" w:fill="auto"/>
      </w:rPr>
      <w:tblPr/>
      <w:tcPr>
        <w:tcBorders>
          <w:top w:val="sing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ABF8F" w:themeColor="accent6" w:themeTint="99"/>
        </w:tcBorders>
      </w:tcPr>
    </w:tblStylePr>
    <w:tblStylePr w:type="lastRow">
      <w:rPr>
        <w:b/>
        <w:w w:val="100"/>
        <w:sz w:val="20"/>
        <w:szCs w:val="20"/>
        <w:shd w:val="clear" w:color="auto" w:fill="auto"/>
      </w:rPr>
      <w:tblPr/>
      <w:tcPr>
        <w:tcBorders>
          <w:top w:val="sing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F81BD" w:themeColor="accent1"/>
        </w:tcBorders>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0504D" w:themeColor="accent2"/>
        </w:tcBorders>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BBB59" w:themeColor="accent3"/>
        </w:tcBorders>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64A2" w:themeColor="accent4"/>
        </w:tcBorders>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BACC6" w:themeColor="accent5"/>
        </w:tcBorders>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79646" w:themeColor="accent6"/>
        </w:tcBorders>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auto"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auto"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auto"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auto"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auto"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uiPriority w:val="99"/>
    <w:semiHidden/>
    <w:unhideWhenUsed/>
    <w:rsid w:val="003025E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025EE"/>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3025EE"/>
    <w:rPr>
      <w:sz w:val="18"/>
      <w:szCs w:val="18"/>
    </w:rPr>
  </w:style>
  <w:style w:type="paragraph" w:styleId="af4">
    <w:name w:val="annotation text"/>
    <w:basedOn w:val="a"/>
    <w:link w:val="af5"/>
    <w:uiPriority w:val="99"/>
    <w:semiHidden/>
    <w:unhideWhenUsed/>
    <w:rsid w:val="003025EE"/>
    <w:pPr>
      <w:jc w:val="left"/>
    </w:pPr>
  </w:style>
  <w:style w:type="character" w:customStyle="1" w:styleId="af5">
    <w:name w:val="コメント文字列 (文字)"/>
    <w:basedOn w:val="a0"/>
    <w:link w:val="af4"/>
    <w:uiPriority w:val="99"/>
    <w:semiHidden/>
    <w:rsid w:val="003025EE"/>
    <w:rPr>
      <w:sz w:val="21"/>
      <w:szCs w:val="21"/>
    </w:rPr>
  </w:style>
  <w:style w:type="paragraph" w:styleId="af6">
    <w:name w:val="annotation subject"/>
    <w:basedOn w:val="af4"/>
    <w:next w:val="af4"/>
    <w:link w:val="af7"/>
    <w:uiPriority w:val="99"/>
    <w:semiHidden/>
    <w:unhideWhenUsed/>
    <w:rsid w:val="003025EE"/>
    <w:rPr>
      <w:b/>
      <w:bCs/>
    </w:rPr>
  </w:style>
  <w:style w:type="character" w:customStyle="1" w:styleId="af7">
    <w:name w:val="コメント内容 (文字)"/>
    <w:basedOn w:val="af5"/>
    <w:link w:val="af6"/>
    <w:uiPriority w:val="99"/>
    <w:semiHidden/>
    <w:rsid w:val="003025E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1147</Characters>
  <Application>Microsoft Office Word</Application>
  <DocSecurity>0</DocSecurity>
  <Lines>9</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9</cp:revision>
  <dcterms:created xsi:type="dcterms:W3CDTF">2019-07-30T01:24:00Z</dcterms:created>
  <dcterms:modified xsi:type="dcterms:W3CDTF">2020-03-02T05:13:00Z</dcterms:modified>
</cp:coreProperties>
</file>